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tbl>
      <w:tblPr>
        <w:tblStyle w:val="Table1"/>
        <w:tblW w:w="9354.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9354"/>
        <w:tblGridChange w:id="0">
          <w:tblGrid>
            <w:gridCol w:w="9354"/>
          </w:tblGrid>
        </w:tblGridChange>
      </w:tblGrid>
      <w:tr>
        <w:trPr>
          <w:cantSplit w:val="0"/>
          <w:tblHeader w:val="0"/>
        </w:trPr>
        <w:tc>
          <w:tcPr/>
          <w:p w:rsidR="00000000" w:rsidDel="00000000" w:rsidP="00000000" w:rsidRDefault="00000000" w:rsidRPr="00000000" w14:paraId="0000000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blHeader w:val="0"/>
        </w:trPr>
        <w:tc>
          <w:tcPr/>
          <w:p w:rsidR="00000000" w:rsidDel="00000000" w:rsidP="00000000" w:rsidRDefault="00000000" w:rsidRPr="00000000" w14:paraId="0000000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righ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righ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righ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righ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7">
            <w:pPr>
              <w:ind w:left="675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Биоэтика бойынша</w:t>
            </w:r>
          </w:p>
          <w:p w:rsidR="00000000" w:rsidDel="00000000" w:rsidP="00000000" w:rsidRDefault="00000000" w:rsidRPr="00000000" w14:paraId="00000008">
            <w:pPr>
              <w:ind w:left="675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комиссия отырысында БЕКІТІЛДІ</w:t>
            </w:r>
          </w:p>
          <w:p w:rsidR="00000000" w:rsidDel="00000000" w:rsidP="00000000" w:rsidRDefault="00000000" w:rsidRPr="00000000" w14:paraId="00000009">
            <w:pPr>
              <w:ind w:left="675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«__»_____ ______</w:t>
            </w:r>
          </w:p>
          <w:p w:rsidR="00000000" w:rsidDel="00000000" w:rsidP="00000000" w:rsidRDefault="00000000" w:rsidRPr="00000000" w14:paraId="0000000A">
            <w:pPr>
              <w:ind w:left="675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Комиссия төрағасы </w:t>
            </w:r>
          </w:p>
          <w:p w:rsidR="00000000" w:rsidDel="00000000" w:rsidP="00000000" w:rsidRDefault="00000000" w:rsidRPr="00000000" w14:paraId="0000000B">
            <w:pPr>
              <w:ind w:left="675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Кинжебай Айман </w:t>
            </w:r>
            <w:r w:rsidDel="00000000" w:rsidR="00000000" w:rsidRPr="00000000">
              <w:rPr>
                <w:rtl w:val="0"/>
              </w:rPr>
            </w:r>
          </w:p>
        </w:tc>
      </w:tr>
      <w:tr>
        <w:trPr>
          <w:cantSplit w:val="0"/>
          <w:tblHeader w:val="0"/>
        </w:trPr>
        <w:tc>
          <w:tcPr/>
          <w:p w:rsidR="00000000" w:rsidDel="00000000" w:rsidP="00000000" w:rsidRDefault="00000000" w:rsidRPr="00000000" w14:paraId="0000000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center"/>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0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center"/>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0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center"/>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0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center"/>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1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center"/>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1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center"/>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1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left"/>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1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34"/>
              <w:jc w:val="center"/>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Стандартты операциялық процедура 007, 1-нұсқа</w:t>
            </w:r>
          </w:p>
          <w:p w:rsidR="00000000" w:rsidDel="00000000" w:rsidP="00000000" w:rsidRDefault="00000000" w:rsidRPr="00000000" w14:paraId="0000001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center"/>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tl w:val="0"/>
              </w:rPr>
            </w:r>
          </w:p>
        </w:tc>
      </w:tr>
      <w:tr>
        <w:trPr>
          <w:cantSplit w:val="0"/>
          <w:tblHeader w:val="0"/>
        </w:trPr>
        <w:tc>
          <w:tcPr/>
          <w:p w:rsidR="00000000" w:rsidDel="00000000" w:rsidP="00000000" w:rsidRDefault="00000000" w:rsidRPr="00000000" w14:paraId="0000001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«ЗЕРТТЕУ</w:t>
            </w:r>
            <w:r w:rsidDel="00000000" w:rsidR="00000000" w:rsidRPr="00000000">
              <w:rPr>
                <w:rFonts w:ascii="Times New Roman" w:cs="Times New Roman" w:eastAsia="Times New Roman" w:hAnsi="Times New Roman"/>
                <w:b w:val="1"/>
                <w:bCs w:val="1"/>
                <w:sz w:val="28"/>
                <w:szCs w:val="28"/>
                <w:rtl w:val="0"/>
              </w:rPr>
              <w:t xml:space="preserve"> СУБЪЕКТ</w:t>
            </w: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ІСІНІҢ АҚПАРАТ</w:t>
            </w:r>
            <w:r w:rsidDel="00000000" w:rsidR="00000000" w:rsidRPr="00000000">
              <w:rPr>
                <w:rFonts w:ascii="Times New Roman" w:cs="Times New Roman" w:eastAsia="Times New Roman" w:hAnsi="Times New Roman"/>
                <w:b w:val="1"/>
                <w:bCs w:val="1"/>
                <w:sz w:val="28"/>
                <w:szCs w:val="28"/>
                <w:rtl w:val="0"/>
              </w:rPr>
              <w:t xml:space="preserve">ТАНДЫРЫЛҒАН</w:t>
            </w: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 КЕЛІСІМІНЕ АРНАЛҒАН ТАЛАПТАР»</w:t>
            </w:r>
          </w:p>
          <w:p w:rsidR="00000000" w:rsidDel="00000000" w:rsidP="00000000" w:rsidRDefault="00000000" w:rsidRPr="00000000" w14:paraId="0000001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1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1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1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1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1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1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1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1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1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2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2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2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2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2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2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2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2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2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2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2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2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tc>
      </w:tr>
      <w:tr>
        <w:trPr>
          <w:cantSplit w:val="0"/>
          <w:trHeight w:val="130" w:hRule="atLeast"/>
          <w:tblHeader w:val="0"/>
        </w:trPr>
        <w:tc>
          <w:tcPr/>
          <w:p w:rsidR="00000000" w:rsidDel="00000000" w:rsidP="00000000" w:rsidRDefault="00000000" w:rsidRPr="00000000" w14:paraId="0000002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Астана – 2025</w:t>
            </w:r>
          </w:p>
          <w:p w:rsidR="00000000" w:rsidDel="00000000" w:rsidP="00000000" w:rsidRDefault="00000000" w:rsidRPr="00000000" w14:paraId="0000002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r>
    </w:tbl>
    <w:p w:rsidR="00000000" w:rsidDel="00000000" w:rsidP="00000000" w:rsidRDefault="00000000" w:rsidRPr="00000000" w14:paraId="0000003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Стандартты операциялық процедура</w:t>
      </w:r>
      <w:r w:rsidDel="00000000" w:rsidR="00000000" w:rsidRPr="00000000">
        <w:rPr>
          <w:rtl w:val="0"/>
        </w:rPr>
      </w:r>
    </w:p>
    <w:p w:rsidR="00000000" w:rsidDel="00000000" w:rsidP="00000000" w:rsidRDefault="00000000" w:rsidRPr="00000000" w14:paraId="0000003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center"/>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«ЗЕРТТЕУ ПӘНІНІҢ АҚПАРАТТЫ КЕЛІСІМІНЕ АРНАЛҒАН ТАЛАПТАР»</w:t>
      </w:r>
    </w:p>
    <w:p w:rsidR="00000000" w:rsidDel="00000000" w:rsidP="00000000" w:rsidRDefault="00000000" w:rsidRPr="00000000" w14:paraId="0000003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3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1429" w:right="0" w:hanging="720"/>
        <w:jc w:val="both"/>
        <w:rPr>
          <w:rFonts w:ascii="Times New Roman" w:cs="Times New Roman" w:eastAsia="Times New Roman" w:hAnsi="Times New Roman"/>
          <w:b w:val="1"/>
          <w:bCs w:val="1"/>
          <w:i w:val="0"/>
          <w:iCs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Зерттеу субъектісінің ақпараттандырылған келісімінің мазмұны.</w:t>
      </w:r>
    </w:p>
    <w:p w:rsidR="00000000" w:rsidDel="00000000" w:rsidP="00000000" w:rsidRDefault="00000000" w:rsidRPr="00000000" w14:paraId="0000003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1. Комиссия қызметінің негізгі мақсаты зерттеу субъектілерінің заңды құқықтары мен мүдделерін қорғау болып табылады, бұл зерттеушілерге қойылатын талаптардың болмауының негізгі кепілдіктерінің бірі болып табылады, демек, олардың құқықтарын қорғауға ықпал етеді; ақпараттандырылған келісім этикалық сараптамаға жататын негізгі құжаттардың бірі болып табылады.</w:t>
      </w:r>
    </w:p>
    <w:p w:rsidR="00000000" w:rsidDel="00000000" w:rsidP="00000000" w:rsidRDefault="00000000" w:rsidRPr="00000000" w14:paraId="0000003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2. Ақпараттандырылған келісім зерттеу субъектілерінің зерттеудің мәнін түсінуін және оған қатысу-қатыспау туралы саналы және ерікті түрде шешім қабылдауын қамтамасыз етеді.</w:t>
      </w:r>
    </w:p>
    <w:p w:rsidR="00000000" w:rsidDel="00000000" w:rsidP="00000000" w:rsidRDefault="00000000" w:rsidRPr="00000000" w14:paraId="0000003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3. Зерттеу субъектісінің хабардар етілген келісімі зерттеу субъектісіне ұсынылған ақпараттан және жазбаша хабардар етілген келісім </w:t>
      </w:r>
      <w:r w:rsidDel="00000000" w:rsidR="00000000" w:rsidRPr="00000000">
        <w:rPr>
          <w:rFonts w:ascii="Times New Roman" w:cs="Times New Roman" w:eastAsia="Times New Roman" w:hAnsi="Times New Roman"/>
          <w:sz w:val="24"/>
          <w:szCs w:val="24"/>
          <w:rtl w:val="0"/>
        </w:rPr>
        <w:t xml:space="preserve">формас</w:t>
      </w: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ынан тұрады.</w:t>
      </w:r>
    </w:p>
    <w:p w:rsidR="00000000" w:rsidDel="00000000" w:rsidP="00000000" w:rsidRDefault="00000000" w:rsidRPr="00000000" w14:paraId="0000003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4. Зерттеу туралы ақпарат зерттеу субъектісіне ол түсінетін тілде жазбаша түрде берілуі тиіс.</w:t>
      </w:r>
    </w:p>
    <w:p w:rsidR="00000000" w:rsidDel="00000000" w:rsidP="00000000" w:rsidRDefault="00000000" w:rsidRPr="00000000" w14:paraId="0000003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5. Ақпарат толық, объективті, анық берілген және </w:t>
      </w:r>
      <w:r w:rsidDel="00000000" w:rsidR="00000000" w:rsidRPr="00000000">
        <w:rPr>
          <w:rFonts w:ascii="Times New Roman" w:cs="Times New Roman" w:eastAsia="Times New Roman" w:hAnsi="Times New Roman"/>
          <w:sz w:val="24"/>
          <w:szCs w:val="24"/>
          <w:rtl w:val="0"/>
        </w:rPr>
        <w:t xml:space="preserve">маман емес адамдарға да түсінікті болуы тиіс</w:t>
      </w: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 егер оларды болдырмау мүмкін болмаса, медициналық терминдер түсіндіріледі.</w:t>
      </w:r>
    </w:p>
    <w:p w:rsidR="00000000" w:rsidDel="00000000" w:rsidP="00000000" w:rsidRDefault="00000000" w:rsidRPr="00000000" w14:paraId="0000003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6. Зерттеу субъектісінің жазбаша хабардар етілген келісімі бірінші жақта жазылуы мүмкін. Ол зерттеуге қатысудың ерікті сипатын және кез келген уақытта қатысуды тоқтату мүмкіндігін көрсетуі керек.</w:t>
      </w:r>
    </w:p>
    <w:p w:rsidR="00000000" w:rsidDel="00000000" w:rsidP="00000000" w:rsidRDefault="00000000" w:rsidRPr="00000000" w14:paraId="0000003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7. Әлеуетті зерттеу субъектісіне ұсынылатын зерттеу туралы жазбаша ақпарат сынаққа қатысу/қатыспау туралы шешім қабылдауға әсер ететін негізгі факторлардың бірі болып табылады, сондай-ақ зерттеу субъектісі үшін ұсынылған сынақ шарттарының жалғыз жазбаша растауы болуы мүмкін. Осы жазбаша материалдардың көшірмесі зерттеу субъектісіне жазбаша ақпараттандырылған келісім формасының көшірмесімен бірге берілуі керек. «</w:t>
      </w:r>
      <w:r w:rsidDel="00000000" w:rsidR="00000000" w:rsidRPr="00000000">
        <w:rPr>
          <w:rFonts w:ascii="Times New Roman" w:cs="Times New Roman" w:eastAsia="Times New Roman" w:hAnsi="Times New Roman"/>
          <w:sz w:val="24"/>
          <w:szCs w:val="24"/>
          <w:rtl w:val="0"/>
        </w:rPr>
        <w:t xml:space="preserve">Зерттеу субъектісіне арналған ақпарат</w:t>
      </w: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 және жазбаша «Ақпараттандырылған келісім» біртұтас бүтінді білдіретін құжаттар пакеті болуы керек, біркелкі бет нөмірі ағымдағы бет нөмірін және әрбір бетте беттердің жалпы санын (5-тен 1; 5-тен 2 және т.б.) көрсетеді. Зерттеу субъектісі </w:t>
      </w:r>
      <w:r w:rsidDel="00000000" w:rsidR="00000000" w:rsidRPr="00000000">
        <w:rPr>
          <w:rFonts w:ascii="Times New Roman" w:cs="Times New Roman" w:eastAsia="Times New Roman" w:hAnsi="Times New Roman"/>
          <w:sz w:val="24"/>
          <w:szCs w:val="24"/>
          <w:rtl w:val="0"/>
        </w:rPr>
        <w:t xml:space="preserve">зерттеу</w:t>
      </w: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шіде сақталған «Зерттеу субъектісіне арналған ақпарат» немесе «Ақпараттық келісімнің» көшірмесіне осы материалдарды алғаны туралы белгі қоюы керек.</w:t>
      </w:r>
    </w:p>
    <w:p w:rsidR="00000000" w:rsidDel="00000000" w:rsidP="00000000" w:rsidRDefault="00000000" w:rsidRPr="00000000" w14:paraId="0000003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8"/>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8. Зерттеу субъектісіне арналған ақпарат мынадай ақпаратты қамтуы тиіс:</w:t>
      </w:r>
    </w:p>
    <w:p w:rsidR="00000000" w:rsidDel="00000000" w:rsidP="00000000" w:rsidRDefault="00000000" w:rsidRPr="00000000" w14:paraId="0000003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sz w:val="24"/>
          <w:szCs w:val="24"/>
          <w:rtl w:val="0"/>
        </w:rPr>
        <w:t xml:space="preserve">сынақты</w:t>
      </w: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ң </w:t>
      </w:r>
      <w:r w:rsidDel="00000000" w:rsidR="00000000" w:rsidRPr="00000000">
        <w:rPr>
          <w:rFonts w:ascii="Times New Roman" w:cs="Times New Roman" w:eastAsia="Times New Roman" w:hAnsi="Times New Roman"/>
          <w:sz w:val="24"/>
          <w:szCs w:val="24"/>
          <w:rtl w:val="0"/>
        </w:rPr>
        <w:t xml:space="preserve">зерттеушілік</w:t>
      </w: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 сипатында екендігі туралы мәлімдеме;</w:t>
      </w:r>
    </w:p>
    <w:p w:rsidR="00000000" w:rsidDel="00000000" w:rsidP="00000000" w:rsidRDefault="00000000" w:rsidRPr="00000000" w14:paraId="0000003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 зерттеу мақсаттары;</w:t>
      </w:r>
    </w:p>
    <w:p w:rsidR="00000000" w:rsidDel="00000000" w:rsidP="00000000" w:rsidRDefault="00000000" w:rsidRPr="00000000" w14:paraId="0000003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 зерттелетін дәрілік зат және зерттеу топтарының біріне қосылу ықтималдығы;</w:t>
      </w:r>
    </w:p>
    <w:p w:rsidR="00000000" w:rsidDel="00000000" w:rsidP="00000000" w:rsidRDefault="00000000" w:rsidRPr="00000000" w14:paraId="0000003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 зерттеу процедуралары, соның ішінде инвазивті әдістер;</w:t>
      </w:r>
    </w:p>
    <w:p w:rsidR="00000000" w:rsidDel="00000000" w:rsidP="00000000" w:rsidRDefault="00000000" w:rsidRPr="00000000" w14:paraId="0000004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 зерттеу субъектісінің </w:t>
      </w:r>
      <w:r w:rsidDel="00000000" w:rsidR="00000000" w:rsidRPr="00000000">
        <w:rPr>
          <w:rFonts w:ascii="Times New Roman" w:cs="Times New Roman" w:eastAsia="Times New Roman" w:hAnsi="Times New Roman"/>
          <w:sz w:val="24"/>
          <w:szCs w:val="24"/>
          <w:rtl w:val="0"/>
        </w:rPr>
        <w:t xml:space="preserve">міндеттері</w:t>
      </w: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4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 эксперименттік сипаттағы зерттеу сәттері;</w:t>
      </w:r>
    </w:p>
    <w:p w:rsidR="00000000" w:rsidDel="00000000" w:rsidP="00000000" w:rsidRDefault="00000000" w:rsidRPr="00000000" w14:paraId="0000004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 зерттеу субъектісі үшін ыңғайсыздық және объективті болжамды тәуекел;</w:t>
      </w:r>
    </w:p>
    <w:p w:rsidR="00000000" w:rsidDel="00000000" w:rsidP="00000000" w:rsidRDefault="00000000" w:rsidRPr="00000000" w14:paraId="0000004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 объективті күтілетін пайда; егер зерттеудің емдік мақсаты болмаса, зерттеу субъектісі бұл туралы хабардар етілуге ​​тиіс;</w:t>
      </w:r>
    </w:p>
    <w:p w:rsidR="00000000" w:rsidDel="00000000" w:rsidP="00000000" w:rsidRDefault="00000000" w:rsidRPr="00000000" w14:paraId="0000004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 зерттелушіге тағайындалуы мүмкін дәрілік немесе дәрілік емес емдеудің басқа түрлері, сондай-ақ олардың ықтимал пайдасы мен қауіптері;</w:t>
      </w:r>
    </w:p>
    <w:p w:rsidR="00000000" w:rsidDel="00000000" w:rsidP="00000000" w:rsidRDefault="00000000" w:rsidRPr="00000000" w14:paraId="0000004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 зерттеу барысында оның денсаулығына зиян келтірілген жағдайда зерттеу субъектісі құқығы болуы мүмкін өтемақы және/немесе емдеу;</w:t>
      </w:r>
    </w:p>
    <w:p w:rsidR="00000000" w:rsidDel="00000000" w:rsidP="00000000" w:rsidRDefault="00000000" w:rsidRPr="00000000" w14:paraId="0000004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 зерттеу субъектісі сақтандырылған сақтандыру компаниясы туралы мәліметтер;</w:t>
      </w:r>
    </w:p>
    <w:p w:rsidR="00000000" w:rsidDel="00000000" w:rsidP="00000000" w:rsidRDefault="00000000" w:rsidRPr="00000000" w14:paraId="0000004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 зерттеу субъектісіне, егер бар болса, оның зерттеуге қатысу ұзақтығына пропорционалды төлемдер сомасы;</w:t>
      </w:r>
    </w:p>
    <w:p w:rsidR="00000000" w:rsidDel="00000000" w:rsidP="00000000" w:rsidRDefault="00000000" w:rsidRPr="00000000" w14:paraId="0000004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 зерттеу субъектісінің, егер бар болса, оның зерттеуге қатысуына байланысты шығыстары;</w:t>
      </w:r>
    </w:p>
    <w:p w:rsidR="00000000" w:rsidDel="00000000" w:rsidP="00000000" w:rsidRDefault="00000000" w:rsidRPr="00000000" w14:paraId="0000004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 зерттеуге қатысу ерікті және зерттеу субъектісінің зерттеуге қатысудан бас тартуы немесе кез келген уақытта қандай да бір санкцияларсыз немесе зерттеу субъектілерінің емдеудің басқа түрлеріне құқықтарын бұзбай одан бас тартуы мүмкін екендігі туралы мәлімдеме;</w:t>
      </w:r>
    </w:p>
    <w:p w:rsidR="00000000" w:rsidDel="00000000" w:rsidP="00000000" w:rsidRDefault="00000000" w:rsidRPr="00000000" w14:paraId="0000004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 мониторлардың, аудиторлардың, Комиссияның және бақылаушы органдардың зерттеу субъектісінің анонимділігін бұзбай, клиникалық зерттеудің рәсімдерін және/немесе деректерін тексеру мақсатында тиісті заңдармен және нормативтік құқықтық актілермен айқындалған көлемде зерттеулердің бастапқы медициналық құжаттамасындағы жазбаларға тікелей қол жеткізе алатыны туралы мәлімдеме; Ақпараттандырылған келісім </w:t>
      </w:r>
      <w:r w:rsidDel="00000000" w:rsidR="00000000" w:rsidRPr="00000000">
        <w:rPr>
          <w:rFonts w:ascii="Times New Roman" w:cs="Times New Roman" w:eastAsia="Times New Roman" w:hAnsi="Times New Roman"/>
          <w:sz w:val="24"/>
          <w:szCs w:val="24"/>
          <w:rtl w:val="0"/>
        </w:rPr>
        <w:t xml:space="preserve">формас</w:t>
      </w: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ына қол қою арқылы зерттеу субъектісі немесе оның заңды өкілі осы құжаттамаға қол жеткізуге рұқсат береді;</w:t>
      </w:r>
    </w:p>
    <w:p w:rsidR="00000000" w:rsidDel="00000000" w:rsidP="00000000" w:rsidRDefault="00000000" w:rsidRPr="00000000" w14:paraId="0000004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 зерттеу субъектісін анықтайтын ақпараттың құпия сақталатыны және тиісті заңдарда және/немесе нормативтік құқықтық актілерде белгіленген шектерде ғана ашылуы мүмкін екендігі туралы мәлімдеме; зерттеу нәтижелерін жариялау кезінде зерттеу </w:t>
      </w:r>
      <w:r w:rsidDel="00000000" w:rsidR="00000000" w:rsidRPr="00000000">
        <w:rPr>
          <w:rFonts w:ascii="Times New Roman" w:cs="Times New Roman" w:eastAsia="Times New Roman" w:hAnsi="Times New Roman"/>
          <w:sz w:val="24"/>
          <w:szCs w:val="24"/>
          <w:rtl w:val="0"/>
        </w:rPr>
        <w:t xml:space="preserve">формас</w:t>
      </w: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ының анонимділігі сақталады;</w:t>
      </w:r>
    </w:p>
    <w:p w:rsidR="00000000" w:rsidDel="00000000" w:rsidP="00000000" w:rsidRDefault="00000000" w:rsidRPr="00000000" w14:paraId="0000004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 зерттеу субъектісіне немесе оның заңды өкіліне зерттеу субъектісінің зерттеуге қатысуды жалғастыру ниетіне әсер етуі мүмкін жаңа ақпарат туралы дереу хабардар болатыны туралы мәлімдеме;</w:t>
      </w:r>
    </w:p>
    <w:p w:rsidR="00000000" w:rsidDel="00000000" w:rsidP="00000000" w:rsidRDefault="00000000" w:rsidRPr="00000000" w14:paraId="0000004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 зерттеу тақырыбы мен құқықтары туралы қосымша ақпарат алу үшін байланысуға болатын тұлғалардың тізімі;</w:t>
      </w:r>
    </w:p>
    <w:p w:rsidR="00000000" w:rsidDel="00000000" w:rsidP="00000000" w:rsidRDefault="00000000" w:rsidRPr="00000000" w14:paraId="0000004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 зерттеу субъектісінің зерттеуге қатысуы оның келісімінсіз тоқтатылуы мүмкін жағдайлар;</w:t>
      </w:r>
    </w:p>
    <w:p w:rsidR="00000000" w:rsidDel="00000000" w:rsidP="00000000" w:rsidRDefault="00000000" w:rsidRPr="00000000" w14:paraId="0000004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 зерттеу субъектісінің зерттеуге қатысуының күтілетін ұзақтығы;</w:t>
      </w:r>
    </w:p>
    <w:p w:rsidR="00000000" w:rsidDel="00000000" w:rsidP="00000000" w:rsidRDefault="00000000" w:rsidRPr="00000000" w14:paraId="0000005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 зерттеуге қатысатын зерттеу субъектілерінің шамамен жалпы саны.</w:t>
      </w:r>
    </w:p>
    <w:p w:rsidR="00000000" w:rsidDel="00000000" w:rsidP="00000000" w:rsidRDefault="00000000" w:rsidRPr="00000000" w14:paraId="0000005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8"/>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9. Комиссия зерттеу субъектілерінен зерттеу туралы қосымша ақпаратты ұсынуды талап ете алады, егер бұл Комиссияның пікірінше, бұл зерттеу субъектілерінің құқықтары мен денсаулығын қорғау үшін қажет болса.</w:t>
      </w:r>
    </w:p>
    <w:p w:rsidR="00000000" w:rsidDel="00000000" w:rsidP="00000000" w:rsidRDefault="00000000" w:rsidRPr="00000000" w14:paraId="0000005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8"/>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10. Кәмелетке толмағандардың қатысуымен зерттеулер жүргізу үшін 14-17 жас аралығындағы жасөспірім үшін ата-анасының (заңды өкілінің) ақпараты мен хабардар етілген келісімінің </w:t>
      </w:r>
      <w:r w:rsidDel="00000000" w:rsidR="00000000" w:rsidRPr="00000000">
        <w:rPr>
          <w:rFonts w:ascii="Times New Roman" w:cs="Times New Roman" w:eastAsia="Times New Roman" w:hAnsi="Times New Roman"/>
          <w:sz w:val="24"/>
          <w:szCs w:val="24"/>
          <w:rtl w:val="0"/>
        </w:rPr>
        <w:t xml:space="preserve">формас</w:t>
      </w: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ы және 10 жастан асқан бала үшін (мүмкіндігінше) бейімделген мәліметтері бар тиісті құжаттар қажет.</w:t>
      </w:r>
    </w:p>
    <w:p w:rsidR="00000000" w:rsidDel="00000000" w:rsidP="00000000" w:rsidRDefault="00000000" w:rsidRPr="00000000" w14:paraId="0000005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8"/>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11. Зерттеу субъектісіне арналған ақпарат және зерттеу субъектісінің жазбаша хабардар етілген келісімі </w:t>
      </w:r>
      <w:r w:rsidDel="00000000" w:rsidR="00000000" w:rsidRPr="00000000">
        <w:rPr>
          <w:rFonts w:ascii="Times New Roman" w:cs="Times New Roman" w:eastAsia="Times New Roman" w:hAnsi="Times New Roman"/>
          <w:sz w:val="24"/>
          <w:szCs w:val="24"/>
          <w:rtl w:val="0"/>
        </w:rPr>
        <w:t xml:space="preserve">формас</w:t>
      </w: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ы зерттеу субъектілерінің келісіміне әсер етуі мүмкін жаңа ақпарат пайда болған кезде қайта қаралуы тиіс.</w:t>
      </w:r>
    </w:p>
    <w:p w:rsidR="00000000" w:rsidDel="00000000" w:rsidP="00000000" w:rsidRDefault="00000000" w:rsidRPr="00000000" w14:paraId="0000005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8"/>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12. Зерттеу субъектілерінің ақпараттандырылған келісімі туралы құжаттарға өзгерістер енгізілген жағдайда, Комиссия осы құжаттарды «Бекітілген клиникалық зерттеулердің құжаттарын қарау» үлгілік жұмыс тәртібінде белгіленген тәртіппен қарайды.</w:t>
      </w:r>
    </w:p>
    <w:p w:rsidR="00000000" w:rsidDel="00000000" w:rsidP="00000000" w:rsidRDefault="00000000" w:rsidRPr="00000000" w14:paraId="0000005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8"/>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13. Зерттеу хаттамасында (мысалы, генетикалық, психологиялық және т.б.) қарастырылуы мүмкін қосымша (қосымша) зерттеулерге қатысу үшін зерттеу субъектісіне пациент туралы жеке ақпарат </w:t>
      </w:r>
      <w:r w:rsidDel="00000000" w:rsidR="00000000" w:rsidRPr="00000000">
        <w:rPr>
          <w:rFonts w:ascii="Times New Roman" w:cs="Times New Roman" w:eastAsia="Times New Roman" w:hAnsi="Times New Roman"/>
          <w:sz w:val="24"/>
          <w:szCs w:val="24"/>
          <w:rtl w:val="0"/>
        </w:rPr>
        <w:t xml:space="preserve">формас</w:t>
      </w: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ы және осындай зерттеуге қатысуға ақпараттандырылған келісім </w:t>
      </w:r>
      <w:r w:rsidDel="00000000" w:rsidR="00000000" w:rsidRPr="00000000">
        <w:rPr>
          <w:rFonts w:ascii="Times New Roman" w:cs="Times New Roman" w:eastAsia="Times New Roman" w:hAnsi="Times New Roman"/>
          <w:sz w:val="24"/>
          <w:szCs w:val="24"/>
          <w:rtl w:val="0"/>
        </w:rPr>
        <w:t xml:space="preserve">формас</w:t>
      </w: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ы ұсынылуы тиіс.</w:t>
      </w:r>
    </w:p>
    <w:p w:rsidR="00000000" w:rsidDel="00000000" w:rsidP="00000000" w:rsidRDefault="00000000" w:rsidRPr="00000000" w14:paraId="0000005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II. Қосымша генетикалық зерттеулерге қатысуға ақпараттандырылған келісім.</w:t>
      </w:r>
      <w:r w:rsidDel="00000000" w:rsidR="00000000" w:rsidRPr="00000000">
        <w:rPr>
          <w:rtl w:val="0"/>
        </w:rPr>
      </w:r>
    </w:p>
    <w:p w:rsidR="00000000" w:rsidDel="00000000" w:rsidP="00000000" w:rsidRDefault="00000000" w:rsidRPr="00000000" w14:paraId="0000005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1. </w:t>
      </w:r>
      <w:r w:rsidDel="00000000" w:rsidR="00000000" w:rsidRPr="00000000">
        <w:rPr>
          <w:rFonts w:ascii="Times New Roman" w:cs="Times New Roman" w:eastAsia="Times New Roman" w:hAnsi="Times New Roman"/>
          <w:sz w:val="24"/>
          <w:szCs w:val="24"/>
          <w:rtl w:val="0"/>
        </w:rPr>
        <w:t xml:space="preserve">Егер клиникалық зерттеу дизайны генетикалық зерттеулерді қамтыса (аурудың тұқым қуалау үлгісін анықтайтын генеалогиялық зерттеулер; гендерді локализациялау және сәйкестендіру үшін позициялық клондау; нақты ДНҚ мутацияларын анықтау әдістерін әзірлеуге арналған ДНҚ құрылымын зерттеу; гендік терапия әдістерін әзірлеуге бағытталған зерттеулер), зерттеу субъектісі мұндай зерттеулерге қатысу үшін бөлек ақпараттандырылған келісім беруі тиіс.</w:t>
      </w:r>
      <w:r w:rsidDel="00000000" w:rsidR="00000000" w:rsidRPr="00000000">
        <w:rPr>
          <w:rtl w:val="0"/>
        </w:rPr>
      </w:r>
    </w:p>
    <w:p w:rsidR="00000000" w:rsidDel="00000000" w:rsidP="00000000" w:rsidRDefault="00000000" w:rsidRPr="00000000" w14:paraId="0000005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2. Келісім беру процесінде зерттеу субъектілеріне берілетін ақпарат мүмкіндігінше нақты болуы керек. Зерттеу субъектілері олардың генетикалық зерттеулерге қатысуына байланысты белгілі және белгісіз қауіптер туралы хабардар болуы керек. Ақпараттандырылған келісім процесінде мүмкін болғанша шындыққа жанаспайтын үміттерді жою керек.</w:t>
      </w:r>
    </w:p>
    <w:p w:rsidR="00000000" w:rsidDel="00000000" w:rsidP="00000000" w:rsidRDefault="00000000" w:rsidRPr="00000000" w14:paraId="0000005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3. Маңызды ақпаратты ашу болашақ зерттеу субъектілерімен пікірталас түрінде болуы керек. Мұндай талқылау кезінде зерттеу субъектілері мыналар туралы хабардар болуы керек:</w:t>
      </w:r>
    </w:p>
    <w:p w:rsidR="00000000" w:rsidDel="00000000" w:rsidP="00000000" w:rsidRDefault="00000000" w:rsidRPr="00000000" w14:paraId="0000005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 оларға берілетін ақпараттың сипаты (яғни, олар зерттеуші маңызды және сенімді деп санайтын ақпаратты ғана алады немесе олар ешқандай генетикалық ақпаратпен қамтамасыз етілмейді) және олар бұл ақпаратты зерттеудің қай кезеңінде алады;</w:t>
      </w:r>
    </w:p>
    <w:p w:rsidR="00000000" w:rsidDel="00000000" w:rsidP="00000000" w:rsidRDefault="00000000" w:rsidRPr="00000000" w14:paraId="0000005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 олар өздері немесе отбасы мүшелері туралы білгісі келмейтін ақпаратты білуі немесе білу ыңғайсыз болуы мүмкін;</w:t>
      </w:r>
    </w:p>
    <w:p w:rsidR="00000000" w:rsidDel="00000000" w:rsidP="00000000" w:rsidRDefault="00000000" w:rsidRPr="00000000" w14:paraId="0000005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 олар туралы ақпарат олардың отбасының басқа мүшелеріне белгілі болуы мүмкін;</w:t>
      </w:r>
    </w:p>
    <w:p w:rsidR="00000000" w:rsidDel="00000000" w:rsidP="00000000" w:rsidRDefault="00000000" w:rsidRPr="00000000" w14:paraId="0000005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 олар білетін немесе зерттеу нәтижесінде белгілі болған ақпарат олардың болашақ өміріне кері әсер етуі мүмкін;</w:t>
      </w:r>
    </w:p>
    <w:p w:rsidR="00000000" w:rsidDel="00000000" w:rsidP="00000000" w:rsidRDefault="00000000" w:rsidRPr="00000000" w14:paraId="0000005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 құпиялылыққа қандай кепілдіктер берілуі мүмкін немесе берілмейді;</w:t>
      </w:r>
    </w:p>
    <w:p w:rsidR="00000000" w:rsidDel="00000000" w:rsidP="00000000" w:rsidRDefault="00000000" w:rsidRPr="00000000" w14:paraId="0000006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 олар қандай құқықтарды сақтайды және қандай құқықтардан бас тартуы керек, атап айтқанда, олар беретін тіндердің жойылуын бақылау (мысалы, түсік түсірілген материал, қан);</w:t>
      </w:r>
    </w:p>
    <w:p w:rsidR="00000000" w:rsidDel="00000000" w:rsidP="00000000" w:rsidRDefault="00000000" w:rsidRPr="00000000" w14:paraId="0000006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 зерттеуге қатысуды тоқтатудың салдары қандай болады;</w:t>
      </w:r>
    </w:p>
    <w:p w:rsidR="00000000" w:rsidDel="00000000" w:rsidP="00000000" w:rsidRDefault="00000000" w:rsidRPr="00000000" w14:paraId="0000006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 олардың қатысуына байланысты кез келген шығындар (оның ішінде, мысалы, генетикалық және/немесе психологиялық сараптаманың құны, егер оларды зерттеуші немесе медициналық мекеме көтермесе).</w:t>
      </w:r>
    </w:p>
    <w:p w:rsidR="00000000" w:rsidDel="00000000" w:rsidP="00000000" w:rsidRDefault="00000000" w:rsidRPr="00000000" w14:paraId="0000006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8"/>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4. Зерттеу субъектілеріне ұсынылатын ақпарат олардың жасы, білімі, дене және ақыл-ой қабілеттері ескерілетін түсінікті тілде берілуі тиіс. Келісім зерттеу субъектісінің ана тілінде, қажет болған жағдайда аудармашының көмегімен алынуы тиіс. Келісім құжаттары зерттеу субъектісінің ана тіліне де аударылуы керек.</w:t>
      </w:r>
    </w:p>
    <w:p w:rsidR="00000000" w:rsidDel="00000000" w:rsidP="00000000" w:rsidRDefault="00000000" w:rsidRPr="00000000" w14:paraId="0000006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8"/>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5. </w:t>
      </w:r>
      <w:r w:rsidDel="00000000" w:rsidR="00000000" w:rsidRPr="00000000">
        <w:rPr>
          <w:rFonts w:ascii="Times New Roman" w:cs="Times New Roman" w:eastAsia="Times New Roman" w:hAnsi="Times New Roman"/>
          <w:sz w:val="24"/>
          <w:szCs w:val="24"/>
          <w:rtl w:val="0"/>
        </w:rPr>
        <w:t xml:space="preserve">зерттеу</w:t>
      </w: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ші болашақ зерттеу субъектілерінің зерттеуге байланысты тәуекелдер мен артықшылықтарды толық түсінуін қамтамасыз ету үшін барлық қажетті шараларды қабылдауы керек.</w:t>
      </w:r>
    </w:p>
    <w:p w:rsidR="00000000" w:rsidDel="00000000" w:rsidP="00000000" w:rsidRDefault="00000000" w:rsidRPr="00000000" w14:paraId="0000006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8"/>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6. Генетикалық зерттеуге арналған «Зерттеу </w:t>
      </w:r>
      <w:r w:rsidDel="00000000" w:rsidR="00000000" w:rsidRPr="00000000">
        <w:rPr>
          <w:rFonts w:ascii="Times New Roman" w:cs="Times New Roman" w:eastAsia="Times New Roman" w:hAnsi="Times New Roman"/>
          <w:sz w:val="24"/>
          <w:szCs w:val="24"/>
          <w:rtl w:val="0"/>
        </w:rPr>
        <w:t xml:space="preserve">субъектісіне</w:t>
      </w: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sz w:val="24"/>
          <w:szCs w:val="24"/>
          <w:rtl w:val="0"/>
        </w:rPr>
        <w:t xml:space="preserve">арналған</w:t>
      </w: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 ақпарат» үлгілерді жинау процедурасын, үлгілерге кімнің қол жеткізе алатынын және неліктен, ДНҚ кімге тиесілі екенін және қате генетикалық ақпарат (мысалы, зертханалық талдаудың қателігінен туындаған) қалай түзетілетінін, деректермен (және үлгілермен) не болатынын, яғни, генетикалық ақпарат (және сынамаға сәйкес алынған үлгілермен) сәйкес келетінін сипаттауы керек. зерттеуді қаржыландыру аяқталғаннан кейін хаттама.</w:t>
      </w:r>
    </w:p>
    <w:p w:rsidR="00000000" w:rsidDel="00000000" w:rsidP="00000000" w:rsidRDefault="00000000" w:rsidRPr="00000000" w14:paraId="0000006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67">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1429" w:right="0" w:hanging="720"/>
        <w:jc w:val="both"/>
        <w:rPr>
          <w:rFonts w:ascii="Times New Roman" w:cs="Times New Roman" w:eastAsia="Times New Roman" w:hAnsi="Times New Roman"/>
          <w:b w:val="1"/>
          <w:bCs w:val="1"/>
          <w:i w:val="0"/>
          <w:iCs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Зерттеу субъектілерінен ақпараттандырылған келісімді алу тәртібі.</w:t>
      </w:r>
    </w:p>
    <w:p w:rsidR="00000000" w:rsidDel="00000000" w:rsidP="00000000" w:rsidRDefault="00000000" w:rsidRPr="00000000" w14:paraId="0000006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1. Зерттеу субъектілерінің хабардар етілген келісімін жеткілікті кәсіби тәжірибесі бар, зерттеу субъектілерінің хабардар етілген келісімінің мазмұнын нақты білетін, зерттеу жоспары мен оның мақсаттары туралы жақсы хабардар болған </w:t>
      </w:r>
      <w:r w:rsidDel="00000000" w:rsidR="00000000" w:rsidRPr="00000000">
        <w:rPr>
          <w:rFonts w:ascii="Times New Roman" w:cs="Times New Roman" w:eastAsia="Times New Roman" w:hAnsi="Times New Roman"/>
          <w:sz w:val="24"/>
          <w:szCs w:val="24"/>
          <w:rtl w:val="0"/>
        </w:rPr>
        <w:t xml:space="preserve">зерттеу</w:t>
      </w: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ші немесе оның қызметкері алуға тиіс.</w:t>
      </w:r>
    </w:p>
    <w:p w:rsidR="00000000" w:rsidDel="00000000" w:rsidP="00000000" w:rsidRDefault="00000000" w:rsidRPr="00000000" w14:paraId="0000006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2. Зерттеуші немесе оның қызметкерлері зерттеу субъектісін, ал егер зерттелуші өз бетінше </w:t>
      </w:r>
      <w:r w:rsidDel="00000000" w:rsidR="00000000" w:rsidRPr="00000000">
        <w:rPr>
          <w:rFonts w:ascii="Times New Roman" w:cs="Times New Roman" w:eastAsia="Times New Roman" w:hAnsi="Times New Roman"/>
          <w:sz w:val="24"/>
          <w:szCs w:val="24"/>
          <w:rtl w:val="0"/>
        </w:rPr>
        <w:t xml:space="preserve">ақпараттандырылған</w:t>
      </w: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 келісім бере алмаса, оның заңды өкілін зерттеудің барлық аспектілері туралы, оның ішінде оны зерттеу субъектісінің хабардар етілген келісімінде берілген ақпараттық материалдармен таныстыру туралы толық ақпарат беруге міндетті.</w:t>
      </w:r>
    </w:p>
    <w:p w:rsidR="00000000" w:rsidDel="00000000" w:rsidP="00000000" w:rsidRDefault="00000000" w:rsidRPr="00000000" w14:paraId="0000006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3. Ақпараттандырылған келісімге қол қою алдында </w:t>
      </w:r>
      <w:r w:rsidDel="00000000" w:rsidR="00000000" w:rsidRPr="00000000">
        <w:rPr>
          <w:rFonts w:ascii="Times New Roman" w:cs="Times New Roman" w:eastAsia="Times New Roman" w:hAnsi="Times New Roman"/>
          <w:sz w:val="24"/>
          <w:szCs w:val="24"/>
          <w:rtl w:val="0"/>
        </w:rPr>
        <w:t xml:space="preserve">зерттеу</w:t>
      </w: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ші немесе олардың қызметкерлері зерттеу субъектісіне немесе олардың заңды түрде уәкілетті өкіліне зерттеуге қатысу-қатыспау туралы шешім қабылдау үшін жеткілікті уақыт беруге және </w:t>
      </w:r>
      <w:r w:rsidDel="00000000" w:rsidR="00000000" w:rsidRPr="00000000">
        <w:rPr>
          <w:rFonts w:ascii="Times New Roman" w:cs="Times New Roman" w:eastAsia="Times New Roman" w:hAnsi="Times New Roman"/>
          <w:sz w:val="24"/>
          <w:szCs w:val="24"/>
          <w:rtl w:val="0"/>
        </w:rPr>
        <w:t xml:space="preserve">зерттеу туралы қосымша ақпаратты сұрауға мүмкіндік беруі тиіс</w:t>
      </w: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 Зерттеу субъектісі немесе оның заңды түрде уәкілетті өкілі зерттеуге қатысты барлық сұрақтарға жан-жақты жауап алуы керек.</w:t>
      </w:r>
    </w:p>
    <w:p w:rsidR="00000000" w:rsidDel="00000000" w:rsidP="00000000" w:rsidRDefault="00000000" w:rsidRPr="00000000" w14:paraId="0000006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4. Зерттеу субъектісін зерттеуге енгізгенге дейін ол немесе оның заңды өкілі және түсіндірме сұхбатын жүргізген тұлға зерттеу субъектілерінің хабардар етілген келісіміне қол қоюы және күнін қоюы тиіс.</w:t>
      </w:r>
    </w:p>
    <w:p w:rsidR="00000000" w:rsidDel="00000000" w:rsidP="00000000" w:rsidRDefault="00000000" w:rsidRPr="00000000" w14:paraId="0000006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5. Егер зерттеу субъектісі немесе олардың заңды түрде уәкілетті өкілі оқи алмаса немесе оқи алмаса, онда қызығушылық танытпайтын куәгер брифинг барысында қатысуы тиіс. Жазбаша келісім парағы және/немесе зерттеу субъектісіне ұсынылған басқа материалдар зерттелушіге немесе оның заңды өкіліне оқылып, түсіндіріліп болғаннан кейін зерттеу субъектісі немесе олардың заңды уәкілетті өкілі зерттеу субъектісінің зерттеуге қатысуына ауызша келісімін береді және мүмкіндігіне қарай хабардар етілген келісімге қол қояды және күнін қояды. Содан кейін куәгер келісім парағына өзі қол қойып, күнін қоюы керек, осылайша зерттеуге қатысуға келісімді зерттеу субъектісі немесе олардың заңды түрде уәкілетті өкілі өз еркімен бергенін және оқылған </w:t>
      </w:r>
      <w:r w:rsidDel="00000000" w:rsidR="00000000" w:rsidRPr="00000000">
        <w:rPr>
          <w:rFonts w:ascii="Times New Roman" w:cs="Times New Roman" w:eastAsia="Times New Roman" w:hAnsi="Times New Roman"/>
          <w:sz w:val="24"/>
          <w:szCs w:val="24"/>
          <w:rtl w:val="0"/>
        </w:rPr>
        <w:t xml:space="preserve">формасы</w:t>
      </w: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ның қол қойылған келісіммен бірдей екенін растайды.</w:t>
      </w:r>
    </w:p>
    <w:p w:rsidR="00000000" w:rsidDel="00000000" w:rsidP="00000000" w:rsidRDefault="00000000" w:rsidRPr="00000000" w14:paraId="0000006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6. Зерттеу субъектісі немесе оның заңды өкілі ақпараттандырылған келісім бланкінің қол қойылған және күні қойылған көшірмесін, зерттеу субъектісінің ақпараттандырылған келісімі бланкінің әрбір жаңа редакциясының (болған жағдайда) қол қойылған және күні қойылған көшірмесін және зерттеу субъектісі ұсынған басқа да ақпараттық материалдардың көшірмесін (бар болса) алуға тиіс.</w:t>
      </w:r>
    </w:p>
    <w:p w:rsidR="00000000" w:rsidDel="00000000" w:rsidP="00000000" w:rsidRDefault="00000000" w:rsidRPr="00000000" w14:paraId="0000006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7. Егер зерттеу субъектісі 14-17 жас аралығындағы кәмелетке толмаған бала болса, онда оның ата-анасынан (асырап алушылардан) зерттеуге қатысуға </w:t>
      </w:r>
      <w:r w:rsidDel="00000000" w:rsidR="00000000" w:rsidRPr="00000000">
        <w:rPr>
          <w:rFonts w:ascii="Times New Roman" w:cs="Times New Roman" w:eastAsia="Times New Roman" w:hAnsi="Times New Roman"/>
          <w:sz w:val="24"/>
          <w:szCs w:val="24"/>
          <w:rtl w:val="0"/>
        </w:rPr>
        <w:t xml:space="preserve">ақпараттандырылған</w:t>
      </w: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 келісім алумен қатар, жасөспірім зерттеу субъектісінен бөлек хабардар етілген келісімді алу міндетті болып табылады.</w:t>
      </w:r>
    </w:p>
    <w:p w:rsidR="00000000" w:rsidDel="00000000" w:rsidP="00000000" w:rsidRDefault="00000000" w:rsidRPr="00000000" w14:paraId="0000006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8. Егер зерттеу субъектісі 14 жасқа толмаған кәмелетке толмаған бала болса, олар келісімнің мәнін түсіне алатындай дәрежеде зерттеуге қатысуға келісімін беруге тиіс. Бұл ретте, 14 жасқа толмаған бала ата-анасы (асырап алушы) ұсынған қолы мен күнінен басқа, егер олардың мүмкіндігі болса, зерттеу субъектісінің хабардар етілген келісім парағына жеке қол қойып, күнін белгілей алады. Зерттеу субъектісіне зерттеу субъектілері үшін (10 жастан жоғары немесе 7 жастан асқан) жеке, бейімделген </w:t>
      </w:r>
      <w:r w:rsidDel="00000000" w:rsidR="00000000" w:rsidRPr="00000000">
        <w:rPr>
          <w:rFonts w:ascii="Times New Roman" w:cs="Times New Roman" w:eastAsia="Times New Roman" w:hAnsi="Times New Roman"/>
          <w:sz w:val="24"/>
          <w:szCs w:val="24"/>
          <w:rtl w:val="0"/>
        </w:rPr>
        <w:t xml:space="preserve">зерттеу субъектісіне арналған ақпарат</w:t>
      </w: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sz w:val="24"/>
          <w:szCs w:val="24"/>
          <w:rtl w:val="0"/>
        </w:rPr>
        <w:t xml:space="preserve">т</w:t>
      </w: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а берілуі мүмкін.</w:t>
      </w:r>
    </w:p>
    <w:p w:rsidR="00000000" w:rsidDel="00000000" w:rsidP="00000000" w:rsidRDefault="00000000" w:rsidRPr="00000000" w14:paraId="0000007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9. Зерттеу субъектісіне тікелей емдік пайдасын көздемейтін клиникалық зерттеуде зерттеу субъектілері әрқашан сынаққа қатысуға жеке келісімін беруі және зерттеу субъектісінің ақпараттандырылған келісіміне жеке қол қоюы және күнін қоюы керек.</w:t>
      </w:r>
    </w:p>
    <w:p w:rsidR="00000000" w:rsidDel="00000000" w:rsidP="00000000" w:rsidRDefault="00000000" w:rsidRPr="00000000" w14:paraId="0000007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10. Зерттеу субъектісінің оларды зерттеуге қосқанға дейін келісімін алу мүмкін болмаған жағдайларда, Комиссияның қарауына ұсынылатын зерттеу хаттамасында мұндай келісімнің талап етілмейтіні (немесе мүмкін еместігі) және ол бар болған жағдайда, зерттеу субъектісінің заңды өкілінің келісімін алу жеткілікті екендігі нақты көрсетілуі тиіс. Зерттеу субъектісінің заңды өкілінің келмеуі бүкіл рәсімнің қолданыстағы нормативтік талаптарға сәйкестігін қамтамасыз ету үшін хаттамада сипатталған басқа әрекеттерді талап етеді.</w:t>
      </w:r>
    </w:p>
    <w:p w:rsidR="00000000" w:rsidDel="00000000" w:rsidP="00000000" w:rsidRDefault="00000000" w:rsidRPr="00000000" w14:paraId="0000007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73">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1"/>
          <w:bCs w:val="1"/>
          <w:i w:val="0"/>
          <w:iCs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Төтенше жағдайдағы науқастарды қамтитын зерттеулерде ақпараттандырылған келісімді алу талабынан бас тарту.</w:t>
      </w:r>
    </w:p>
    <w:p w:rsidR="00000000" w:rsidDel="00000000" w:rsidP="00000000" w:rsidRDefault="00000000" w:rsidRPr="00000000" w14:paraId="00000074">
      <w:pPr>
        <w:spacing w:after="0" w:line="24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 Төтенше жағдайдағы пациенттер қатысатын клиникалық зерттеу кезінде зерттеу субъектісінен ақпараттандырылған келісімді алу келесі жағдайларда қажет болмауы мүмкін:</w:t>
      </w:r>
    </w:p>
    <w:p w:rsidR="00000000" w:rsidDel="00000000" w:rsidP="00000000" w:rsidRDefault="00000000" w:rsidRPr="00000000" w14:paraId="0000007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2. Адамның өміріне қауіп төндіретін жай-күйі бар, барлық қолданыстағы емдеу әдістері тиімсіз немесе олардың тиімділігі дәлелденбеген және рандомизацияланған плацебо-бақыланатын сынақтардың нәтижелері туралы деректерді қоса алғанда, қолда бар ғылыми ақпараттың жалпы көлемі белгілі бір жоспарланған араласулардың қауіпсіздігі мен тиімділігін анықтау үшін жеткілікті.</w:t>
      </w:r>
    </w:p>
    <w:p w:rsidR="00000000" w:rsidDel="00000000" w:rsidP="00000000" w:rsidRDefault="00000000" w:rsidRPr="00000000" w14:paraId="0000007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3. Зерттеу субъектісінен ақпараттандырылған келісімді алу мүмкін емес, себебі:</w:t>
      </w:r>
    </w:p>
    <w:p w:rsidR="00000000" w:rsidDel="00000000" w:rsidP="00000000" w:rsidRDefault="00000000" w:rsidRPr="00000000" w14:paraId="0000007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 зерттеу субъектілері клиникалық жағдайына байланысты келісімін бере алмайды;</w:t>
      </w:r>
    </w:p>
    <w:p w:rsidR="00000000" w:rsidDel="00000000" w:rsidP="00000000" w:rsidRDefault="00000000" w:rsidRPr="00000000" w14:paraId="0000007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 зерттеуде қарастырылған араласу зерттеу субъектісінің заңды түрде уәкілетті өкілдерінен келісім алғанға дейін жүргізілуі керек;</w:t>
      </w:r>
    </w:p>
    <w:p w:rsidR="00000000" w:rsidDel="00000000" w:rsidP="00000000" w:rsidRDefault="00000000" w:rsidRPr="00000000" w14:paraId="0000007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 болашақ зерттеу пәнінің зерттеуге қосу критерийлеріне сәйкес келетін-келмейтінін алдын ала анықтаудың ешқандай жолы жоқ.</w:t>
      </w:r>
    </w:p>
    <w:p w:rsidR="00000000" w:rsidDel="00000000" w:rsidP="00000000" w:rsidRDefault="00000000" w:rsidRPr="00000000" w14:paraId="0000007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4. Зерттеуге қатысу зерттеу субъектілеріне олардың денсаулығына тікелей пайда алу перспективасын ұсынады, себебі:</w:t>
      </w:r>
    </w:p>
    <w:p w:rsidR="00000000" w:rsidDel="00000000" w:rsidP="00000000" w:rsidRDefault="00000000" w:rsidRPr="00000000" w14:paraId="0000007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 зерттеу субъектілері араласуды қажет ететін өмірге қауіп төндіретін жағдайда;</w:t>
      </w:r>
    </w:p>
    <w:p w:rsidR="00000000" w:rsidDel="00000000" w:rsidP="00000000" w:rsidRDefault="00000000" w:rsidRPr="00000000" w14:paraId="0000007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 қажетті жануарларға және басқа да клиникаға дейінгі зерттеулер жүргізілді және осы сынақтардан алынған ақпарат және басқа қол жетімді деректер араласудың зерттелушілерге тікелей пайда әкелетіні туралы идеяны растайды;</w:t>
      </w:r>
    </w:p>
    <w:p w:rsidR="00000000" w:rsidDel="00000000" w:rsidP="00000000" w:rsidRDefault="00000000" w:rsidRPr="00000000" w14:paraId="0000007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 зерттеуге қатысумен байланысты тәуекел зерттелетін субъектілердің әлеуетті тобының клиникалық жағдайы, олардың денсаулығы үшін дәстүрлі емдеу әдістерінің тәуекелдері мен пайдасы (бар болса) және зерттелетін субъектілердің денсаулығы үшін ұсынылатын араласудың немесе әрекеттің қауіптері мен пайдасы туралы белгілі нәрсеге қатысты негізді болуы.</w:t>
      </w:r>
    </w:p>
    <w:p w:rsidR="00000000" w:rsidDel="00000000" w:rsidP="00000000" w:rsidRDefault="00000000" w:rsidRPr="00000000" w14:paraId="0000007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5. Ұсынылып отырған зерттеу хаттамасы қолда бар ғылыми деректерге сүйене отырып, емдеу «терезесінің» ықтимал ұзақтығын анықтайды, ал </w:t>
      </w:r>
      <w:r w:rsidDel="00000000" w:rsidR="00000000" w:rsidRPr="00000000">
        <w:rPr>
          <w:rFonts w:ascii="Times New Roman" w:cs="Times New Roman" w:eastAsia="Times New Roman" w:hAnsi="Times New Roman"/>
          <w:sz w:val="24"/>
          <w:szCs w:val="24"/>
          <w:rtl w:val="0"/>
        </w:rPr>
        <w:t xml:space="preserve">зерттеу</w:t>
      </w: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ші осы «терезеде» белгіленген уақыт ішінде әрбір зерттеу субъектісінің заңды өкілімен байланысуға және мүмкіндігінше, зерттеу субъектісінің зерттеуге (зерттелушіге) қатысуынсыз (зерттелушіге зерттеуге ешбір келісімдісіз) қатысуға мүмкіндігінше заңды түрде уәкілетті өкілдің келісімін алуға бар күшін салды. </w:t>
      </w:r>
      <w:r w:rsidDel="00000000" w:rsidR="00000000" w:rsidRPr="00000000">
        <w:rPr>
          <w:rFonts w:ascii="Times New Roman" w:cs="Times New Roman" w:eastAsia="Times New Roman" w:hAnsi="Times New Roman"/>
          <w:sz w:val="24"/>
          <w:szCs w:val="24"/>
          <w:rtl w:val="0"/>
        </w:rPr>
        <w:t xml:space="preserve">зерттеу</w:t>
      </w: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ші зерттеу субъектілерінің өкілдерімен байланысу үшін олардың барлық күш-жігерін егжей-тегжейлі сипаттауы және клиникалық сынақ құжаттарын Палата қарауы кезінде бұл ақпаратты Палатаға ұсынуы керек.</w:t>
      </w:r>
    </w:p>
    <w:p w:rsidR="00000000" w:rsidDel="00000000" w:rsidP="00000000" w:rsidRDefault="00000000" w:rsidRPr="00000000" w14:paraId="0000007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8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V. Зерттеу субъектілерінің денсаулығына ең аз қауіп төндіретін зерттеулерде зерттелушіден негізделген келісімді алу талабынан бас тарту.</w:t>
      </w:r>
    </w:p>
    <w:p w:rsidR="00000000" w:rsidDel="00000000" w:rsidP="00000000" w:rsidRDefault="00000000" w:rsidRPr="00000000" w14:paraId="0000008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1. Комиссия кейбір немесе барлық зерттеу субъектілері үшін жазбаша ақпараттандырылған келісімді алу талабынан бас тарта алады, егер ол:</w:t>
      </w:r>
    </w:p>
    <w:p w:rsidR="00000000" w:rsidDel="00000000" w:rsidP="00000000" w:rsidRDefault="00000000" w:rsidRPr="00000000" w14:paraId="0000008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 зерттеу субъектісінің зерттеуге қатысуының бірден-бір құжаттық дәлелі оның қол қойылған ақпараттандырылған келісімі болады, ал зерттеу субъектісі ұшырайтын негізгі қауіп анонимділіктің бұзылуына байланысты зиян келтіру мүмкіндігі болып табылады; бұл жағдайда әрбір зерттеу субъектісінен оның зерттеумен байланысы туралы құжаттық дәлелдемелерге ие болғысы келетін-келмейтіні сұралады және оның тілегі оның іс-әрекетіне басшылық етеді;</w:t>
      </w:r>
    </w:p>
    <w:p w:rsidR="00000000" w:rsidDel="00000000" w:rsidP="00000000" w:rsidRDefault="00000000" w:rsidRPr="00000000" w14:paraId="0000008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 зерттеу зерттелетін субъектілердің денсаулығына ең аз қауіптен аспайды және әдетте зерттеу шеңберінен тыс келісімді қажет ететін процедураларды қамтымайды.</w:t>
      </w:r>
    </w:p>
    <w:p w:rsidR="00000000" w:rsidDel="00000000" w:rsidP="00000000" w:rsidRDefault="00000000" w:rsidRPr="00000000" w14:paraId="0000008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2. Қол қойылған ақпараттандырылған келісім бланкісіне қойылатын талаптан бас тартылған жағдайларда Комиссия </w:t>
      </w:r>
      <w:r w:rsidDel="00000000" w:rsidR="00000000" w:rsidRPr="00000000">
        <w:rPr>
          <w:rFonts w:ascii="Times New Roman" w:cs="Times New Roman" w:eastAsia="Times New Roman" w:hAnsi="Times New Roman"/>
          <w:sz w:val="24"/>
          <w:szCs w:val="24"/>
          <w:rtl w:val="0"/>
        </w:rPr>
        <w:t xml:space="preserve">зерттеу</w:t>
      </w: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шіден зерттеу субъектілеріне зерттеу туралы ақпаратты жазбаша </w:t>
      </w:r>
      <w:r w:rsidDel="00000000" w:rsidR="00000000" w:rsidRPr="00000000">
        <w:rPr>
          <w:rFonts w:ascii="Times New Roman" w:cs="Times New Roman" w:eastAsia="Times New Roman" w:hAnsi="Times New Roman"/>
          <w:sz w:val="24"/>
          <w:szCs w:val="24"/>
          <w:rtl w:val="0"/>
        </w:rPr>
        <w:t xml:space="preserve">формасын</w:t>
      </w: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да ұсынуды талап ете алады.</w:t>
      </w:r>
    </w:p>
    <w:p w:rsidR="00000000" w:rsidDel="00000000" w:rsidP="00000000" w:rsidRDefault="00000000" w:rsidRPr="00000000" w14:paraId="00000085">
      <w:pPr>
        <w:spacing w:after="0" w:line="240" w:lineRule="auto"/>
        <w:ind w:firstLine="709"/>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6">
      <w:pPr>
        <w:spacing w:after="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7">
      <w:pPr>
        <w:spacing w:after="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8">
      <w:pPr>
        <w:spacing w:after="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9">
      <w:pPr>
        <w:spacing w:after="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A">
      <w:pPr>
        <w:spacing w:after="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B">
      <w:pPr>
        <w:spacing w:after="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C">
      <w:pPr>
        <w:spacing w:after="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D">
      <w:pPr>
        <w:spacing w:after="0" w:line="24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Танысу парағы</w:t>
      </w:r>
    </w:p>
    <w:p w:rsidR="00000000" w:rsidDel="00000000" w:rsidP="00000000" w:rsidRDefault="00000000" w:rsidRPr="00000000" w14:paraId="0000008E">
      <w:pPr>
        <w:spacing w:after="0" w:line="240" w:lineRule="auto"/>
        <w:jc w:val="center"/>
        <w:rPr>
          <w:rFonts w:ascii="Times New Roman" w:cs="Times New Roman" w:eastAsia="Times New Roman" w:hAnsi="Times New Roman"/>
          <w:b w:val="1"/>
          <w:bCs w:val="1"/>
          <w:sz w:val="24"/>
          <w:szCs w:val="24"/>
        </w:rPr>
      </w:pPr>
      <w:r w:rsidDel="00000000" w:rsidR="00000000" w:rsidRPr="00000000">
        <w:rPr>
          <w:rtl w:val="0"/>
        </w:rPr>
      </w:r>
    </w:p>
    <w:tbl>
      <w:tblPr>
        <w:tblStyle w:val="Table2"/>
        <w:tblW w:w="9344.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801"/>
        <w:gridCol w:w="2896"/>
        <w:gridCol w:w="1881"/>
        <w:gridCol w:w="1870"/>
        <w:gridCol w:w="1896"/>
        <w:tblGridChange w:id="0">
          <w:tblGrid>
            <w:gridCol w:w="801"/>
            <w:gridCol w:w="2896"/>
            <w:gridCol w:w="1881"/>
            <w:gridCol w:w="1870"/>
            <w:gridCol w:w="1896"/>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8F">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90">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Толық аты-жөні</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91">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Қызмет атауы</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92">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Қол қою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93">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Танысу күні</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94">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95">
            <w:pPr>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96">
            <w:pPr>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97">
            <w:pPr>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98">
            <w:pPr>
              <w:jc w:val="center"/>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99">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9A">
            <w:pPr>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9B">
            <w:pPr>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9C">
            <w:pPr>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9D">
            <w:pPr>
              <w:jc w:val="center"/>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9E">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9F">
            <w:pPr>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A0">
            <w:pPr>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A1">
            <w:pPr>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A2">
            <w:pPr>
              <w:jc w:val="center"/>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A3">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A4">
            <w:pPr>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A5">
            <w:pPr>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A6">
            <w:pPr>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A7">
            <w:pPr>
              <w:jc w:val="center"/>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A8">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A9">
            <w:pPr>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AA">
            <w:pPr>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AB">
            <w:pPr>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AC">
            <w:pPr>
              <w:jc w:val="center"/>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AD">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AE">
            <w:pPr>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AF">
            <w:pPr>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B0">
            <w:pPr>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B1">
            <w:pPr>
              <w:jc w:val="center"/>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B2">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7.</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B3">
            <w:pPr>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B4">
            <w:pPr>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B5">
            <w:pPr>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B6">
            <w:pPr>
              <w:jc w:val="center"/>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B7">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8.</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B8">
            <w:pPr>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B9">
            <w:pPr>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BA">
            <w:pPr>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BB">
            <w:pPr>
              <w:jc w:val="center"/>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BC">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9.</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BD">
            <w:pPr>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BE">
            <w:pPr>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BF">
            <w:pPr>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C0">
            <w:pPr>
              <w:jc w:val="center"/>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C1">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C2">
            <w:pPr>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C3">
            <w:pPr>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C4">
            <w:pPr>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C5">
            <w:pPr>
              <w:jc w:val="center"/>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C6">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11.</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C7">
            <w:pPr>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C8">
            <w:pPr>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C9">
            <w:pPr>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CA">
            <w:pPr>
              <w:jc w:val="center"/>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CB">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12.</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CC">
            <w:pPr>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CD">
            <w:pPr>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CE">
            <w:pPr>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CF">
            <w:pPr>
              <w:jc w:val="center"/>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D0">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13.</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D1">
            <w:pPr>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D2">
            <w:pPr>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D3">
            <w:pPr>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D4">
            <w:pPr>
              <w:jc w:val="center"/>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D5">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14.</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D6">
            <w:pPr>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D7">
            <w:pPr>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D8">
            <w:pPr>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D9">
            <w:pPr>
              <w:jc w:val="center"/>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DA">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15.</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DB">
            <w:pPr>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DC">
            <w:pPr>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DD">
            <w:pPr>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DE">
            <w:pPr>
              <w:jc w:val="center"/>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DF">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16.</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E0">
            <w:pPr>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E1">
            <w:pPr>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E2">
            <w:pPr>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E3">
            <w:pPr>
              <w:jc w:val="center"/>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E4">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17.</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E5">
            <w:pPr>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E6">
            <w:pPr>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E7">
            <w:pPr>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E8">
            <w:pPr>
              <w:jc w:val="center"/>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E9">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18.</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EA">
            <w:pPr>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EB">
            <w:pPr>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EC">
            <w:pPr>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ED">
            <w:pPr>
              <w:jc w:val="center"/>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EE">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19.</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EF">
            <w:pPr>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F0">
            <w:pPr>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F1">
            <w:pPr>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F2">
            <w:pPr>
              <w:jc w:val="center"/>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F3">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F4">
            <w:pPr>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F5">
            <w:pPr>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F6">
            <w:pPr>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F7">
            <w:pPr>
              <w:jc w:val="center"/>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F8">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21.</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F9">
            <w:pPr>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FA">
            <w:pPr>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FB">
            <w:pPr>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FC">
            <w:pPr>
              <w:jc w:val="center"/>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FD">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22.</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FE">
            <w:pPr>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FF">
            <w:pPr>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00">
            <w:pPr>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01">
            <w:pPr>
              <w:jc w:val="center"/>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02">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23.</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03">
            <w:pPr>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04">
            <w:pPr>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05">
            <w:pPr>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06">
            <w:pPr>
              <w:jc w:val="center"/>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07">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24.</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08">
            <w:pPr>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09">
            <w:pPr>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0A">
            <w:pPr>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0B">
            <w:pPr>
              <w:jc w:val="center"/>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0C">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25.</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0D">
            <w:pPr>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0E">
            <w:pPr>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0F">
            <w:pPr>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10">
            <w:pPr>
              <w:jc w:val="center"/>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11">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26.</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12">
            <w:pPr>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13">
            <w:pPr>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14">
            <w:pPr>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15">
            <w:pPr>
              <w:jc w:val="center"/>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16">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27.</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17">
            <w:pPr>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18">
            <w:pPr>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19">
            <w:pPr>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1A">
            <w:pPr>
              <w:jc w:val="center"/>
              <w:rPr>
                <w:rFonts w:ascii="Times New Roman" w:cs="Times New Roman" w:eastAsia="Times New Roman" w:hAnsi="Times New Roman"/>
                <w:sz w:val="24"/>
                <w:szCs w:val="24"/>
              </w:rPr>
            </w:pPr>
            <w:r w:rsidDel="00000000" w:rsidR="00000000" w:rsidRPr="00000000">
              <w:rPr>
                <w:rtl w:val="0"/>
              </w:rPr>
            </w:r>
          </w:p>
        </w:tc>
      </w:tr>
    </w:tbl>
    <w:p w:rsidR="00000000" w:rsidDel="00000000" w:rsidP="00000000" w:rsidRDefault="00000000" w:rsidRPr="00000000" w14:paraId="0000011B">
      <w:pPr>
        <w:spacing w:after="0" w:line="24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1C">
      <w:pPr>
        <w:spacing w:after="0" w:line="24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1D">
      <w:pPr>
        <w:rPr>
          <w:rFonts w:ascii="Times New Roman" w:cs="Times New Roman" w:eastAsia="Times New Roman" w:hAnsi="Times New Roman"/>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11E">
      <w:pPr>
        <w:spacing w:after="0" w:line="240" w:lineRule="auto"/>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11F">
      <w:pPr>
        <w:spacing w:after="0" w:line="24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Тіркеу парағын өзгерту</w:t>
      </w:r>
    </w:p>
    <w:p w:rsidR="00000000" w:rsidDel="00000000" w:rsidP="00000000" w:rsidRDefault="00000000" w:rsidRPr="00000000" w14:paraId="00000120">
      <w:pPr>
        <w:spacing w:after="0" w:line="240" w:lineRule="auto"/>
        <w:jc w:val="center"/>
        <w:rPr>
          <w:rFonts w:ascii="Times New Roman" w:cs="Times New Roman" w:eastAsia="Times New Roman" w:hAnsi="Times New Roman"/>
          <w:b w:val="1"/>
          <w:bCs w:val="1"/>
          <w:sz w:val="24"/>
          <w:szCs w:val="24"/>
        </w:rPr>
      </w:pPr>
      <w:r w:rsidDel="00000000" w:rsidR="00000000" w:rsidRPr="00000000">
        <w:rPr>
          <w:rtl w:val="0"/>
        </w:rPr>
      </w:r>
    </w:p>
    <w:tbl>
      <w:tblPr>
        <w:tblStyle w:val="Table3"/>
        <w:tblW w:w="9344.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801"/>
        <w:gridCol w:w="4263"/>
        <w:gridCol w:w="2224"/>
        <w:gridCol w:w="2056"/>
        <w:tblGridChange w:id="0">
          <w:tblGrid>
            <w:gridCol w:w="801"/>
            <w:gridCol w:w="4263"/>
            <w:gridCol w:w="2224"/>
            <w:gridCol w:w="2056"/>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21">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22">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Өзгеріс енгізілген стандарттың бөлім нөмірі, тармақ нөмірі</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23">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Өзгеріс күні</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24">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Өзгерістерді енгізген тұлғаның толық аты-жөні</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25">
            <w:pPr>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26">
            <w:pPr>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27">
            <w:pPr>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28">
            <w:pPr>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29">
            <w:pPr>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2A">
            <w:pPr>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2B">
            <w:pPr>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2C">
            <w:pPr>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2D">
            <w:pPr>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2E">
            <w:pPr>
              <w:rPr>
                <w:rFonts w:ascii="Times New Roman" w:cs="Times New Roman" w:eastAsia="Times New Roman" w:hAnsi="Times New Roman"/>
                <w:b w:val="1"/>
                <w:bCs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2F">
            <w:pPr>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30">
            <w:pPr>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31">
            <w:pPr>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32">
            <w:pPr>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33">
            <w:pPr>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34">
            <w:pPr>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35">
            <w:pPr>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36">
            <w:pPr>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37">
            <w:pPr>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38">
            <w:pPr>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39">
            <w:pPr>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3A">
            <w:pPr>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3B">
            <w:pPr>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3C">
            <w:pPr>
              <w:jc w:val="center"/>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3D">
            <w:pPr>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3E">
            <w:pPr>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3F">
            <w:pPr>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40">
            <w:pPr>
              <w:jc w:val="center"/>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41">
            <w:pPr>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42">
            <w:pPr>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43">
            <w:pPr>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44">
            <w:pPr>
              <w:jc w:val="center"/>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45">
            <w:pPr>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46">
            <w:pPr>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47">
            <w:pPr>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48">
            <w:pPr>
              <w:jc w:val="center"/>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49">
            <w:pPr>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4A">
            <w:pPr>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4B">
            <w:pPr>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4C">
            <w:pPr>
              <w:jc w:val="center"/>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4D">
            <w:pPr>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4E">
            <w:pPr>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4F">
            <w:pPr>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50">
            <w:pPr>
              <w:jc w:val="center"/>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51">
            <w:pPr>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52">
            <w:pPr>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53">
            <w:pPr>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54">
            <w:pPr>
              <w:jc w:val="center"/>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55">
            <w:pPr>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56">
            <w:pPr>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57">
            <w:pPr>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58">
            <w:pPr>
              <w:jc w:val="center"/>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59">
            <w:pPr>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5A">
            <w:pPr>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5B">
            <w:pPr>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5C">
            <w:pPr>
              <w:jc w:val="center"/>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5D">
            <w:pPr>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5E">
            <w:pPr>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5F">
            <w:pPr>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60">
            <w:pPr>
              <w:jc w:val="center"/>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61">
            <w:pPr>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62">
            <w:pPr>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63">
            <w:pPr>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64">
            <w:pPr>
              <w:jc w:val="center"/>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65">
            <w:pPr>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66">
            <w:pPr>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67">
            <w:pPr>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68">
            <w:pPr>
              <w:jc w:val="center"/>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69">
            <w:pPr>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6A">
            <w:pPr>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6B">
            <w:pPr>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6C">
            <w:pPr>
              <w:jc w:val="center"/>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6D">
            <w:pPr>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6E">
            <w:pPr>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6F">
            <w:pPr>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70">
            <w:pPr>
              <w:jc w:val="center"/>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71">
            <w:pPr>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72">
            <w:pPr>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73">
            <w:pPr>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74">
            <w:pPr>
              <w:jc w:val="center"/>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75">
            <w:pPr>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76">
            <w:pPr>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77">
            <w:pPr>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78">
            <w:pPr>
              <w:jc w:val="center"/>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79">
            <w:pPr>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7A">
            <w:pPr>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7B">
            <w:pPr>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7C">
            <w:pPr>
              <w:jc w:val="center"/>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7D">
            <w:pPr>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7E">
            <w:pPr>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7F">
            <w:pPr>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80">
            <w:pPr>
              <w:jc w:val="center"/>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81">
            <w:pPr>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82">
            <w:pPr>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83">
            <w:pPr>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84">
            <w:pPr>
              <w:jc w:val="center"/>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85">
            <w:pPr>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86">
            <w:pPr>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87">
            <w:pPr>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88">
            <w:pPr>
              <w:jc w:val="center"/>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89">
            <w:pPr>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8A">
            <w:pPr>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8B">
            <w:pPr>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8C">
            <w:pPr>
              <w:jc w:val="center"/>
              <w:rPr>
                <w:rFonts w:ascii="Times New Roman" w:cs="Times New Roman" w:eastAsia="Times New Roman" w:hAnsi="Times New Roman"/>
                <w:sz w:val="24"/>
                <w:szCs w:val="24"/>
              </w:rPr>
            </w:pPr>
            <w:r w:rsidDel="00000000" w:rsidR="00000000" w:rsidRPr="00000000">
              <w:rPr>
                <w:rtl w:val="0"/>
              </w:rPr>
            </w:r>
          </w:p>
        </w:tc>
      </w:tr>
    </w:tbl>
    <w:p w:rsidR="00000000" w:rsidDel="00000000" w:rsidP="00000000" w:rsidRDefault="00000000" w:rsidRPr="00000000" w14:paraId="0000018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8E">
      <w:pPr>
        <w:spacing w:after="0" w:lineRule="auto"/>
        <w:rPr>
          <w:rFonts w:ascii="Times New Roman" w:cs="Times New Roman" w:eastAsia="Times New Roman" w:hAnsi="Times New Roman"/>
          <w:sz w:val="24"/>
          <w:szCs w:val="24"/>
        </w:rPr>
      </w:pPr>
      <w:r w:rsidDel="00000000" w:rsidR="00000000" w:rsidRPr="00000000">
        <w:rPr>
          <w:rtl w:val="0"/>
        </w:rPr>
      </w:r>
    </w:p>
    <w:sectPr>
      <w:headerReference r:id="rId6" w:type="default"/>
      <w:pgSz w:h="17338" w:w="11906" w:orient="portrait"/>
      <w:pgMar w:bottom="1729" w:top="1134" w:left="1701" w:right="851"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Arial"/>
  <w:font w:name="Times New Roman"/>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8F">
    <w:pPr>
      <w:rPr/>
    </w:pPr>
    <w:r w:rsidDel="00000000" w:rsidR="00000000" w:rsidRPr="00000000">
      <w:rPr/>
      <w:drawing>
        <wp:anchor allowOverlap="1" behindDoc="0" distB="0" distT="0" distL="114300" distR="114300" hidden="0" layoutInCell="1" locked="0" relativeHeight="0" simplePos="0">
          <wp:simplePos x="0" y="0"/>
          <wp:positionH relativeFrom="margin">
            <wp:posOffset>2584132</wp:posOffset>
          </wp:positionH>
          <wp:positionV relativeFrom="margin">
            <wp:posOffset>-726233</wp:posOffset>
          </wp:positionV>
          <wp:extent cx="772327" cy="794011"/>
          <wp:effectExtent b="0" l="0" r="0" t="0"/>
          <wp:wrapNone/>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772327" cy="794011"/>
                  </a:xfrm>
                  <a:prstGeom prst="rect"/>
                  <a:ln/>
                </pic:spPr>
              </pic:pic>
            </a:graphicData>
          </a:graphic>
        </wp:anchor>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upperRoman"/>
      <w:lvlText w:val="%1."/>
      <w:lvlJc w:val="left"/>
      <w:pPr>
        <w:ind w:left="1429" w:hanging="720"/>
      </w:pPr>
      <w:rPr/>
    </w:lvl>
    <w:lvl w:ilvl="1">
      <w:start w:val="1"/>
      <w:numFmt w:val="lowerLetter"/>
      <w:lvlText w:val="%2."/>
      <w:lvlJc w:val="left"/>
      <w:pPr>
        <w:ind w:left="1789" w:hanging="360"/>
      </w:pPr>
      <w:rPr/>
    </w:lvl>
    <w:lvl w:ilvl="2">
      <w:start w:val="1"/>
      <w:numFmt w:val="lowerRoman"/>
      <w:lvlText w:val="%3."/>
      <w:lvlJc w:val="right"/>
      <w:pPr>
        <w:ind w:left="2509" w:hanging="180"/>
      </w:pPr>
      <w:rPr/>
    </w:lvl>
    <w:lvl w:ilvl="3">
      <w:start w:val="1"/>
      <w:numFmt w:val="decimal"/>
      <w:lvlText w:val="%4."/>
      <w:lvlJc w:val="left"/>
      <w:pPr>
        <w:ind w:left="3229" w:hanging="360"/>
      </w:pPr>
      <w:rPr/>
    </w:lvl>
    <w:lvl w:ilvl="4">
      <w:start w:val="1"/>
      <w:numFmt w:val="lowerLetter"/>
      <w:lvlText w:val="%5."/>
      <w:lvlJc w:val="left"/>
      <w:pPr>
        <w:ind w:left="3949" w:hanging="360"/>
      </w:pPr>
      <w:rPr/>
    </w:lvl>
    <w:lvl w:ilvl="5">
      <w:start w:val="1"/>
      <w:numFmt w:val="lowerRoman"/>
      <w:lvlText w:val="%6."/>
      <w:lvlJc w:val="right"/>
      <w:pPr>
        <w:ind w:left="4669" w:hanging="180"/>
      </w:pPr>
      <w:rPr/>
    </w:lvl>
    <w:lvl w:ilvl="6">
      <w:start w:val="1"/>
      <w:numFmt w:val="decimal"/>
      <w:lvlText w:val="%7."/>
      <w:lvlJc w:val="left"/>
      <w:pPr>
        <w:ind w:left="5389" w:hanging="360"/>
      </w:pPr>
      <w:rPr/>
    </w:lvl>
    <w:lvl w:ilvl="7">
      <w:start w:val="1"/>
      <w:numFmt w:val="lowerLetter"/>
      <w:lvlText w:val="%8."/>
      <w:lvlJc w:val="left"/>
      <w:pPr>
        <w:ind w:left="6109" w:hanging="360"/>
      </w:pPr>
      <w:rPr/>
    </w:lvl>
    <w:lvl w:ilvl="8">
      <w:start w:val="1"/>
      <w:numFmt w:val="lowerRoman"/>
      <w:lvlText w:val="%9."/>
      <w:lvlJc w:val="right"/>
      <w:pPr>
        <w:ind w:left="6829" w:hanging="180"/>
      </w:pPr>
      <w:rPr/>
    </w:lvl>
  </w:abstractNum>
  <w:abstractNum w:abstractNumId="2">
    <w:lvl w:ilvl="0">
      <w:start w:val="3"/>
      <w:numFmt w:val="upperRoman"/>
      <w:lvlText w:val="%1."/>
      <w:lvlJc w:val="left"/>
      <w:pPr>
        <w:ind w:left="1429" w:hanging="720"/>
      </w:pPr>
      <w:rPr/>
    </w:lvl>
    <w:lvl w:ilvl="1">
      <w:start w:val="1"/>
      <w:numFmt w:val="lowerLetter"/>
      <w:lvlText w:val="%2."/>
      <w:lvlJc w:val="left"/>
      <w:pPr>
        <w:ind w:left="1789" w:hanging="360"/>
      </w:pPr>
      <w:rPr/>
    </w:lvl>
    <w:lvl w:ilvl="2">
      <w:start w:val="1"/>
      <w:numFmt w:val="lowerRoman"/>
      <w:lvlText w:val="%3."/>
      <w:lvlJc w:val="right"/>
      <w:pPr>
        <w:ind w:left="2509" w:hanging="180"/>
      </w:pPr>
      <w:rPr/>
    </w:lvl>
    <w:lvl w:ilvl="3">
      <w:start w:val="1"/>
      <w:numFmt w:val="decimal"/>
      <w:lvlText w:val="%4."/>
      <w:lvlJc w:val="left"/>
      <w:pPr>
        <w:ind w:left="3229" w:hanging="360"/>
      </w:pPr>
      <w:rPr/>
    </w:lvl>
    <w:lvl w:ilvl="4">
      <w:start w:val="1"/>
      <w:numFmt w:val="lowerLetter"/>
      <w:lvlText w:val="%5."/>
      <w:lvlJc w:val="left"/>
      <w:pPr>
        <w:ind w:left="3949" w:hanging="360"/>
      </w:pPr>
      <w:rPr/>
    </w:lvl>
    <w:lvl w:ilvl="5">
      <w:start w:val="1"/>
      <w:numFmt w:val="lowerRoman"/>
      <w:lvlText w:val="%6."/>
      <w:lvlJc w:val="right"/>
      <w:pPr>
        <w:ind w:left="4669" w:hanging="180"/>
      </w:pPr>
      <w:rPr/>
    </w:lvl>
    <w:lvl w:ilvl="6">
      <w:start w:val="1"/>
      <w:numFmt w:val="decimal"/>
      <w:lvlText w:val="%7."/>
      <w:lvlJc w:val="left"/>
      <w:pPr>
        <w:ind w:left="5389" w:hanging="360"/>
      </w:pPr>
      <w:rPr/>
    </w:lvl>
    <w:lvl w:ilvl="7">
      <w:start w:val="1"/>
      <w:numFmt w:val="lowerLetter"/>
      <w:lvlText w:val="%8."/>
      <w:lvlJc w:val="left"/>
      <w:pPr>
        <w:ind w:left="6109" w:hanging="360"/>
      </w:pPr>
      <w:rPr/>
    </w:lvl>
    <w:lvl w:ilvl="8">
      <w:start w:val="1"/>
      <w:numFmt w:val="lowerRoman"/>
      <w:lvlText w:val="%9."/>
      <w:lvlJc w:val="right"/>
      <w:pPr>
        <w:ind w:left="6829" w:hanging="180"/>
      </w:pPr>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kk"/>
      </w:rPr>
    </w:rPrDefault>
    <w:pPrDefault>
      <w:pPr>
        <w:spacing w:after="200"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2">
    <w:basedOn w:val="TableNormal"/>
    <w:pPr>
      <w:spacing w:after="0" w:line="240" w:lineRule="auto"/>
    </w:pPr>
    <w:rPr>
      <w:rFonts w:ascii="Calibri" w:cs="Calibri" w:eastAsia="Calibri" w:hAnsi="Calibri"/>
    </w:rPr>
    <w:tblPr>
      <w:tblStyleRowBandSize w:val="1"/>
      <w:tblStyleColBandSize w:val="1"/>
      <w:tblCellMar>
        <w:top w:w="0.0" w:type="dxa"/>
        <w:left w:w="108.0" w:type="dxa"/>
        <w:bottom w:w="0.0" w:type="dxa"/>
        <w:right w:w="108.0" w:type="dxa"/>
      </w:tblCellMar>
    </w:tblPr>
  </w:style>
  <w:style w:type="table" w:styleId="Table3">
    <w:basedOn w:val="TableNormal"/>
    <w:pPr>
      <w:spacing w:after="0" w:line="240" w:lineRule="auto"/>
    </w:pPr>
    <w:rPr>
      <w:rFonts w:ascii="Calibri" w:cs="Calibri" w:eastAsia="Calibri" w:hAnsi="Calibri"/>
    </w:r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